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0925F8A3"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00097">
            <w:rPr>
              <w:rStyle w:val="Calibri11NoBold"/>
              <w:b/>
              <w:bCs/>
            </w:rPr>
            <w:t>RFQ</w:t>
          </w:r>
          <w:r w:rsidR="001A69AC">
            <w:rPr>
              <w:rStyle w:val="Calibri11NoBold"/>
              <w:b/>
              <w:bCs/>
            </w:rPr>
            <w:t>24</w:t>
          </w:r>
          <w:r w:rsidR="00A00097">
            <w:rPr>
              <w:rStyle w:val="Calibri11NoBold"/>
              <w:b/>
              <w:bCs/>
            </w:rPr>
            <w:t>-</w:t>
          </w:r>
          <w:r w:rsidR="001A69AC">
            <w:rPr>
              <w:rStyle w:val="Calibri11NoBold"/>
              <w:b/>
              <w:bCs/>
            </w:rPr>
            <w:t>6391</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604D7A01"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303963">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7B65BC46" w14:textId="0C2FFBD4"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Titre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Grilledutableau"/>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Content>
            <w:tc>
              <w:tcPr>
                <w:tcW w:w="9016" w:type="dxa"/>
                <w:gridSpan w:val="4"/>
                <w:shd w:val="clear" w:color="auto" w:fill="DEEAF6" w:themeFill="accent5" w:themeFillTint="33"/>
                <w:vAlign w:val="center"/>
              </w:tcPr>
              <w:p w14:paraId="4AD08A42" w14:textId="4826EB7D" w:rsidR="00CB1E58" w:rsidRPr="00EB6640" w:rsidRDefault="00303963" w:rsidP="00303963">
                <w:pPr>
                  <w:pStyle w:val="Titre3"/>
                  <w:spacing w:before="0"/>
                  <w:jc w:val="center"/>
                </w:pPr>
                <w:r w:rsidRPr="00303963">
                  <w:rPr>
                    <w:b/>
                    <w:bCs/>
                    <w:i/>
                    <w:iCs/>
                    <w:color w:val="808080" w:themeColor="background1" w:themeShade="80"/>
                  </w:rPr>
                  <w:t>Name of the Consultancy</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Titre5"/>
              <w:spacing w:before="0"/>
              <w:jc w:val="center"/>
            </w:pPr>
            <w:r>
              <w:t>Services description</w:t>
            </w:r>
          </w:p>
        </w:tc>
        <w:tc>
          <w:tcPr>
            <w:tcW w:w="1738" w:type="dxa"/>
            <w:shd w:val="clear" w:color="auto" w:fill="BDD6EE" w:themeFill="accent5" w:themeFillTint="66"/>
            <w:vAlign w:val="center"/>
          </w:tcPr>
          <w:p w14:paraId="7D646935" w14:textId="59E266AA" w:rsidR="00F21E35" w:rsidRDefault="00303963" w:rsidP="00B2410B">
            <w:pPr>
              <w:pStyle w:val="Titre5"/>
              <w:spacing w:before="0"/>
              <w:jc w:val="center"/>
            </w:pPr>
            <w:r>
              <w:t>Daily price</w:t>
            </w:r>
            <w:r w:rsidR="00F21E35">
              <w:t xml:space="preserve"> </w:t>
            </w:r>
            <w:sdt>
              <w:sdtPr>
                <w:id w:val="-434823759"/>
                <w:placeholder>
                  <w:docPart w:val="17BDEE88A6A546F98547C16DA791B688"/>
                </w:placeholder>
                <w15:color w:val="FF0000"/>
              </w:sdtPr>
              <w:sdtContent>
                <w:r>
                  <w:t>FJD</w:t>
                </w:r>
              </w:sdtContent>
            </w:sdt>
          </w:p>
        </w:tc>
        <w:tc>
          <w:tcPr>
            <w:tcW w:w="1129" w:type="dxa"/>
            <w:shd w:val="clear" w:color="auto" w:fill="BDD6EE" w:themeFill="accent5" w:themeFillTint="66"/>
            <w:vAlign w:val="center"/>
          </w:tcPr>
          <w:p w14:paraId="1024FEC8" w14:textId="77777777" w:rsidR="00F21E35" w:rsidRDefault="00F21E35" w:rsidP="00B2410B">
            <w:pPr>
              <w:pStyle w:val="Titre5"/>
              <w:spacing w:before="0"/>
              <w:jc w:val="center"/>
            </w:pPr>
            <w:r>
              <w:t>Total quantity</w:t>
            </w:r>
          </w:p>
        </w:tc>
        <w:tc>
          <w:tcPr>
            <w:tcW w:w="1618" w:type="dxa"/>
            <w:shd w:val="clear" w:color="auto" w:fill="BDD6EE" w:themeFill="accent5" w:themeFillTint="66"/>
          </w:tcPr>
          <w:p w14:paraId="764F011D" w14:textId="53BC7975" w:rsidR="00F21E35" w:rsidRDefault="00F21E35" w:rsidP="00B2410B">
            <w:pPr>
              <w:pStyle w:val="Titre5"/>
              <w:spacing w:before="0"/>
              <w:jc w:val="center"/>
            </w:pPr>
            <w:r>
              <w:t xml:space="preserve">Total Amount </w:t>
            </w:r>
            <w:sdt>
              <w:sdtPr>
                <w:id w:val="1691019119"/>
                <w:placeholder>
                  <w:docPart w:val="DF988A56378A408BAAB33B5A18E525F1"/>
                </w:placeholder>
                <w15:color w:val="FF0000"/>
              </w:sdtPr>
              <w:sdtContent>
                <w:r w:rsidR="00303963">
                  <w:t>FJD</w:t>
                </w:r>
              </w:sdtContent>
            </w:sdt>
          </w:p>
        </w:tc>
      </w:tr>
      <w:tr w:rsidR="00F21E35" w14:paraId="29C6C709" w14:textId="77777777" w:rsidTr="00104430">
        <w:sdt>
          <w:sdtPr>
            <w:id w:val="-688295253"/>
            <w:placeholder>
              <w:docPart w:val="4E0CB17F60A1474EBA8325B5CB47681E"/>
            </w:placeholder>
            <w15:color w:val="FFFF99"/>
          </w:sdtPr>
          <w:sdtContent>
            <w:tc>
              <w:tcPr>
                <w:tcW w:w="4531" w:type="dxa"/>
                <w:vAlign w:val="center"/>
              </w:tcPr>
              <w:p w14:paraId="108CEE90" w14:textId="48241429" w:rsidR="00F21E35" w:rsidRDefault="00A00097" w:rsidP="00B2410B">
                <w:r>
                  <w:t>Daily professional fees*</w:t>
                </w:r>
              </w:p>
            </w:tc>
          </w:sdtContent>
        </w:sdt>
        <w:sdt>
          <w:sdtPr>
            <w:id w:val="149020564"/>
            <w:placeholder>
              <w:docPart w:val="F53595AB124943C380450310472A90A6"/>
            </w:placeholder>
            <w:showingPlcHdr/>
            <w15:color w:val="FFFF99"/>
          </w:sdt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77777777" w:rsidR="00CB1E58" w:rsidRPr="0049001E" w:rsidRDefault="00CB1E58" w:rsidP="00B2410B">
            <w:pPr>
              <w:rPr>
                <w:b/>
                <w:bCs/>
              </w:rPr>
            </w:pPr>
            <w:r w:rsidRPr="0049001E">
              <w:rPr>
                <w:b/>
                <w:bCs/>
              </w:rPr>
              <w:t>Total Package 1</w:t>
            </w:r>
          </w:p>
        </w:tc>
        <w:sdt>
          <w:sdtPr>
            <w:id w:val="-1816405849"/>
            <w:placeholder>
              <w:docPart w:val="A0552985A649434CBC8998A11119BD59"/>
            </w:placeholder>
            <w:showingPlcHdr/>
            <w15:color w:val="FFFF99"/>
          </w:sdt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p w14:paraId="45BB709B" w14:textId="2C2C34C7" w:rsidR="00CB1E58" w:rsidRDefault="00CB1E58" w:rsidP="00B2410B">
      <w:pPr>
        <w:spacing w:after="0"/>
      </w:pPr>
    </w:p>
    <w:p w14:paraId="58DB7CC3" w14:textId="77777777" w:rsidR="00303963" w:rsidRDefault="00303963" w:rsidP="00303963">
      <w:pPr>
        <w:spacing w:line="256" w:lineRule="auto"/>
        <w:contextualSpacing/>
        <w:jc w:val="both"/>
      </w:pPr>
      <w:r>
        <w:t>*Professional fees: consultant fees</w:t>
      </w:r>
    </w:p>
    <w:p w14:paraId="2F88DEE9" w14:textId="0204D42B" w:rsidR="00303963" w:rsidRDefault="00303963" w:rsidP="20D6A24F">
      <w:pPr>
        <w:spacing w:line="257" w:lineRule="auto"/>
        <w:ind w:left="-20" w:right="-20"/>
        <w:contextualSpacing/>
        <w:jc w:val="both"/>
      </w:pPr>
      <w:r>
        <w:t xml:space="preserve">No contingency costs or overhead costs are anticipated for this service contract. </w:t>
      </w:r>
      <w:r w:rsidR="5069BC3B" w:rsidRPr="20D6A24F">
        <w:rPr>
          <w:rFonts w:ascii="Calibri" w:eastAsia="Calibri" w:hAnsi="Calibri" w:cs="Calibri"/>
        </w:rPr>
        <w:t xml:space="preserve">Professional fees: staff salaries, consultants’ </w:t>
      </w:r>
      <w:proofErr w:type="gramStart"/>
      <w:r w:rsidR="5069BC3B" w:rsidRPr="20D6A24F">
        <w:rPr>
          <w:rFonts w:ascii="Calibri" w:eastAsia="Calibri" w:hAnsi="Calibri" w:cs="Calibri"/>
        </w:rPr>
        <w:t>fees</w:t>
      </w:r>
      <w:proofErr w:type="gramEnd"/>
      <w:r w:rsidR="5069BC3B" w:rsidRPr="20D6A24F">
        <w:rPr>
          <w:rFonts w:ascii="Calibri" w:eastAsia="Calibri" w:hAnsi="Calibri" w:cs="Calibri"/>
        </w:rPr>
        <w:t xml:space="preserve"> and other professional fees. 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sidR="5069BC3B" w:rsidRPr="20D6A24F">
        <w:rPr>
          <w:rFonts w:ascii="Calibri" w:eastAsia="Calibri" w:hAnsi="Calibri" w:cs="Calibri"/>
        </w:rPr>
        <w:t>taxes</w:t>
      </w:r>
      <w:proofErr w:type="gramEnd"/>
      <w:r w:rsidR="5069BC3B" w:rsidRPr="20D6A24F">
        <w:rPr>
          <w:rFonts w:ascii="Calibri" w:eastAsia="Calibri" w:hAnsi="Calibri" w:cs="Calibri"/>
        </w:rPr>
        <w:t xml:space="preserve"> or duty for which the consultant may be liable. </w:t>
      </w:r>
    </w:p>
    <w:p w14:paraId="613257E1" w14:textId="57549EFE" w:rsidR="00303963" w:rsidRDefault="5069BC3B" w:rsidP="20D6A24F">
      <w:pPr>
        <w:spacing w:line="257" w:lineRule="auto"/>
        <w:ind w:left="-20" w:right="-20"/>
        <w:contextualSpacing/>
        <w:jc w:val="both"/>
      </w:pPr>
      <w:r w:rsidRPr="20D6A24F">
        <w:rPr>
          <w:rFonts w:ascii="Calibri" w:eastAsia="Calibri" w:hAnsi="Calibri" w:cs="Calibri"/>
        </w:rPr>
        <w:t>The consultant must also provide its own workspace and computer during the service provision with a stable Internet connection for Zoom meetings, if required. Any Travel required under this contract will be organised by SPC.</w:t>
      </w:r>
    </w:p>
    <w:p w14:paraId="774E39F3" w14:textId="2CE8BB63" w:rsidR="00303963" w:rsidRDefault="5069BC3B" w:rsidP="20D6A24F">
      <w:pPr>
        <w:spacing w:line="256" w:lineRule="auto"/>
        <w:contextualSpacing/>
        <w:jc w:val="both"/>
      </w:pPr>
      <w:r w:rsidRPr="20D6A24F">
        <w:rPr>
          <w:rFonts w:ascii="Calibri" w:eastAsia="Calibri" w:hAnsi="Calibri" w:cs="Calibri"/>
        </w:rPr>
        <w:t xml:space="preserve"> SPC will not cover any computer or communication equipment during the consultancy. Consultants must provide a stable Internet connection for any virtual meetings that may be required. 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w:t>
      </w:r>
      <w:proofErr w:type="gramStart"/>
      <w:r w:rsidRPr="20D6A24F">
        <w:rPr>
          <w:rFonts w:ascii="Calibri" w:eastAsia="Calibri" w:hAnsi="Calibri" w:cs="Calibri"/>
        </w:rPr>
        <w:t>prices</w:t>
      </w:r>
      <w:proofErr w:type="gramEnd"/>
    </w:p>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457EDE">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1442" w14:textId="77777777" w:rsidR="00457EDE" w:rsidRDefault="00457EDE" w:rsidP="00092213">
      <w:pPr>
        <w:spacing w:after="0" w:line="240" w:lineRule="auto"/>
      </w:pPr>
      <w:r>
        <w:separator/>
      </w:r>
    </w:p>
  </w:endnote>
  <w:endnote w:type="continuationSeparator" w:id="0">
    <w:p w14:paraId="5EDB0C7E" w14:textId="77777777" w:rsidR="00457EDE" w:rsidRDefault="00457EDE"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299E" w14:textId="77777777" w:rsidR="00457EDE" w:rsidRDefault="00457EDE" w:rsidP="00092213">
      <w:pPr>
        <w:spacing w:after="0" w:line="240" w:lineRule="auto"/>
      </w:pPr>
      <w:r>
        <w:separator/>
      </w:r>
    </w:p>
  </w:footnote>
  <w:footnote w:type="continuationSeparator" w:id="0">
    <w:p w14:paraId="0EF8256C" w14:textId="77777777" w:rsidR="00457EDE" w:rsidRDefault="00457EDE"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A59A5"/>
    <w:rsid w:val="001A69AC"/>
    <w:rsid w:val="001B1062"/>
    <w:rsid w:val="001B269E"/>
    <w:rsid w:val="001C4EB5"/>
    <w:rsid w:val="0020602A"/>
    <w:rsid w:val="002336D5"/>
    <w:rsid w:val="002337C7"/>
    <w:rsid w:val="00240D6D"/>
    <w:rsid w:val="00252BDD"/>
    <w:rsid w:val="00262674"/>
    <w:rsid w:val="002A5B11"/>
    <w:rsid w:val="002D43AD"/>
    <w:rsid w:val="00303963"/>
    <w:rsid w:val="003051A9"/>
    <w:rsid w:val="00313114"/>
    <w:rsid w:val="00370D8E"/>
    <w:rsid w:val="00384B80"/>
    <w:rsid w:val="003853E0"/>
    <w:rsid w:val="003D5101"/>
    <w:rsid w:val="00436A06"/>
    <w:rsid w:val="00446962"/>
    <w:rsid w:val="00457EDE"/>
    <w:rsid w:val="0049001E"/>
    <w:rsid w:val="00510E73"/>
    <w:rsid w:val="00552BA7"/>
    <w:rsid w:val="00573753"/>
    <w:rsid w:val="00591B32"/>
    <w:rsid w:val="005C3B7F"/>
    <w:rsid w:val="005E1D6F"/>
    <w:rsid w:val="005E5DC2"/>
    <w:rsid w:val="006658EF"/>
    <w:rsid w:val="00695A40"/>
    <w:rsid w:val="006A10EF"/>
    <w:rsid w:val="006B0E36"/>
    <w:rsid w:val="006C15E6"/>
    <w:rsid w:val="00731B83"/>
    <w:rsid w:val="00740583"/>
    <w:rsid w:val="00740740"/>
    <w:rsid w:val="00741F31"/>
    <w:rsid w:val="007A6F84"/>
    <w:rsid w:val="007C6C25"/>
    <w:rsid w:val="007E0E62"/>
    <w:rsid w:val="007E6B93"/>
    <w:rsid w:val="00802F5C"/>
    <w:rsid w:val="008149C0"/>
    <w:rsid w:val="00814EFB"/>
    <w:rsid w:val="008834DD"/>
    <w:rsid w:val="008E1A7E"/>
    <w:rsid w:val="009C6D22"/>
    <w:rsid w:val="009E178F"/>
    <w:rsid w:val="00A00097"/>
    <w:rsid w:val="00A00F11"/>
    <w:rsid w:val="00A53501"/>
    <w:rsid w:val="00A82BDF"/>
    <w:rsid w:val="00AD341C"/>
    <w:rsid w:val="00B17569"/>
    <w:rsid w:val="00B22143"/>
    <w:rsid w:val="00B2410B"/>
    <w:rsid w:val="00B946F6"/>
    <w:rsid w:val="00BD5DA7"/>
    <w:rsid w:val="00BF0B65"/>
    <w:rsid w:val="00BF1520"/>
    <w:rsid w:val="00C1170C"/>
    <w:rsid w:val="00CB1E58"/>
    <w:rsid w:val="00CD70BF"/>
    <w:rsid w:val="00D2038A"/>
    <w:rsid w:val="00D31733"/>
    <w:rsid w:val="00D5240C"/>
    <w:rsid w:val="00DB4CFF"/>
    <w:rsid w:val="00DE0892"/>
    <w:rsid w:val="00DE53EA"/>
    <w:rsid w:val="00E83DEB"/>
    <w:rsid w:val="00EA7A9E"/>
    <w:rsid w:val="00EB6640"/>
    <w:rsid w:val="00F02487"/>
    <w:rsid w:val="00F037A2"/>
    <w:rsid w:val="00F21E35"/>
    <w:rsid w:val="00F42F32"/>
    <w:rsid w:val="00F45AE9"/>
    <w:rsid w:val="00F62EF5"/>
    <w:rsid w:val="00F757C1"/>
    <w:rsid w:val="00F814FE"/>
    <w:rsid w:val="00FD4042"/>
    <w:rsid w:val="20D6A24F"/>
    <w:rsid w:val="5069B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Textedelespacerserv"/>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165A9"/>
    <w:rsid w:val="006B27DD"/>
    <w:rsid w:val="007236EC"/>
    <w:rsid w:val="00744E75"/>
    <w:rsid w:val="00745696"/>
    <w:rsid w:val="007462D2"/>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pprovaldate xmlns="fd011764-2d64-457f-9fd0-171bb0921018" xsi:nil="true"/>
    <Reference_x0028_Pre_x002d_2021_x0029_ xmlns="fd011764-2d64-457f-9fd0-171bb0921018" xsi:nil="true"/>
    <Division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E0990FD8-25E6-4AAE-B701-2A53020C8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2024-03-28T03:54:00Z</dcterms:created>
  <dcterms:modified xsi:type="dcterms:W3CDTF">2024-03-28T03:54:00Z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