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0A36B07F" w:rsidR="00446962" w:rsidRDefault="00D05D4E"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B401B">
            <w:rPr>
              <w:rStyle w:val="Calibri11NoBold"/>
              <w:b/>
              <w:bCs/>
            </w:rPr>
            <w:t>RFQ 22 - 4</w:t>
          </w:r>
          <w:r>
            <w:rPr>
              <w:rStyle w:val="Calibri11NoBold"/>
              <w:b/>
              <w:bCs/>
            </w:rPr>
            <w:t>698</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0017CDB2" w:rsidR="00CB1E58" w:rsidRPr="00EB6640" w:rsidRDefault="00AA2F0F" w:rsidP="00B2410B">
                <w:pPr>
                  <w:pStyle w:val="Heading3"/>
                  <w:spacing w:before="0"/>
                  <w:outlineLvl w:val="2"/>
                </w:pPr>
                <w:r>
                  <w:rPr>
                    <w:i/>
                    <w:iCs/>
                    <w:color w:val="808080" w:themeColor="background1" w:themeShade="80"/>
                  </w:rPr>
                  <w:t>Costs</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Heading5"/>
              <w:spacing w:before="0"/>
              <w:jc w:val="center"/>
              <w:outlineLvl w:val="4"/>
            </w:pPr>
            <w:r>
              <w:t>Services description</w:t>
            </w:r>
          </w:p>
        </w:tc>
        <w:tc>
          <w:tcPr>
            <w:tcW w:w="1738" w:type="dxa"/>
            <w:shd w:val="clear" w:color="auto" w:fill="BDD6EE" w:themeFill="accent5" w:themeFillTint="66"/>
            <w:vAlign w:val="center"/>
          </w:tcPr>
          <w:p w14:paraId="7D646935" w14:textId="42857C55"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15:color w:val="FF0000"/>
              </w:sdtPr>
              <w:sdtEndPr/>
              <w:sdtContent>
                <w:r w:rsidR="00AA2F0F">
                  <w:t>Euro</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3BBFB8E3"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15:color w:val="FF0000"/>
              </w:sdtPr>
              <w:sdtEndPr/>
              <w:sdtContent>
                <w:r w:rsidR="00AA2F0F">
                  <w:t>Euro</w:t>
                </w:r>
              </w:sdtContent>
            </w:sdt>
          </w:p>
        </w:tc>
      </w:tr>
      <w:tr w:rsidR="00F21E35" w14:paraId="29C6C709" w14:textId="77777777" w:rsidTr="00104430">
        <w:sdt>
          <w:sdtPr>
            <w:rPr>
              <w:rFonts w:asciiTheme="minorHAnsi" w:eastAsiaTheme="minorHAnsi" w:hAnsiTheme="minorHAnsi" w:cstheme="minorHAnsi"/>
              <w:sz w:val="22"/>
              <w:szCs w:val="22"/>
              <w:lang w:val="en-AU" w:eastAsia="en-US"/>
            </w:rPr>
            <w:id w:val="-688295253"/>
            <w:placeholder>
              <w:docPart w:val="4E0CB17F60A1474EBA8325B5CB47681E"/>
            </w:placeholder>
            <w15:color w:val="FFFF99"/>
          </w:sdtPr>
          <w:sdtEndPr/>
          <w:sdtContent>
            <w:tc>
              <w:tcPr>
                <w:tcW w:w="4531" w:type="dxa"/>
                <w:vAlign w:val="center"/>
              </w:tcPr>
              <w:p w14:paraId="2A627BFB" w14:textId="20215ABD"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F21E35" w:rsidRPr="00AA2F0F" w:rsidRDefault="00F21E35" w:rsidP="00B2410B">
                <w:pPr>
                  <w:rPr>
                    <w:rFonts w:cstheme="minorHAnsi"/>
                  </w:rPr>
                </w:pP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rPr>
              <w:rFonts w:asciiTheme="minorHAnsi" w:eastAsiaTheme="minorHAnsi" w:hAnsiTheme="minorHAnsi" w:cstheme="minorHAnsi"/>
              <w:sz w:val="22"/>
              <w:szCs w:val="22"/>
              <w:lang w:val="en-AU" w:eastAsia="en-US"/>
            </w:rPr>
            <w:id w:val="-776799035"/>
            <w:placeholder>
              <w:docPart w:val="44DCF8065F0E46A59EDCC92B5B199166"/>
            </w:placeholder>
            <w15:color w:val="FFFF99"/>
          </w:sdtPr>
          <w:sdtEndPr/>
          <w:sdtContent>
            <w:tc>
              <w:tcPr>
                <w:tcW w:w="4531" w:type="dxa"/>
                <w:vAlign w:val="center"/>
              </w:tcPr>
              <w:p w14:paraId="2410137F" w14:textId="7FAE16EC"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F21E35" w:rsidRPr="00AA2F0F" w:rsidRDefault="00F21E35" w:rsidP="00B2410B">
                <w:pPr>
                  <w:rPr>
                    <w:rFonts w:cstheme="minorHAnsi"/>
                  </w:rPr>
                </w:pP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4DFB146B"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D05D4E"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A2F0F"/>
    <w:rsid w:val="00AD341C"/>
    <w:rsid w:val="00B17569"/>
    <w:rsid w:val="00B22143"/>
    <w:rsid w:val="00B2410B"/>
    <w:rsid w:val="00B946F6"/>
    <w:rsid w:val="00BD5DA7"/>
    <w:rsid w:val="00BF0B65"/>
    <w:rsid w:val="00BF1520"/>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AE9"/>
    <w:rsid w:val="00F62EF5"/>
    <w:rsid w:val="00F757C1"/>
    <w:rsid w:val="00F814FE"/>
    <w:rsid w:val="00FB401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Sandra Gianini</cp:lastModifiedBy>
  <cp:revision>2</cp:revision>
  <dcterms:created xsi:type="dcterms:W3CDTF">2022-10-12T20:55:00Z</dcterms:created>
  <dcterms:modified xsi:type="dcterms:W3CDTF">2022-10-12T20:55:00Z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